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23A6E"/>
          <w:sz w:val="40"/>
        </w:rPr>
        <w:t>PREDZMLUVNÉ INFORMÁCIE PRE SPOTREBITEĽA</w:t>
      </w:r>
    </w:p>
    <w:p>
      <w:pPr>
        <w:jc w:val="center"/>
      </w:pPr>
      <w:r>
        <w:rPr>
          <w:i/>
          <w:color w:val="666666"/>
          <w:sz w:val="22"/>
        </w:rPr>
        <w:t>Informačná povinnosť podľa § 5 zákona č. 108/2024 Z. z. o ochrane spotrebiteľa</w:t>
      </w:r>
    </w:p>
    <w:p>
      <w:pPr>
        <w:jc w:val="center"/>
      </w:pPr>
      <w:r>
        <w:rPr>
          <w:i/>
          <w:sz w:val="20"/>
        </w:rPr>
        <w:t>Verzia 2.0  ·  účinné od 1. júla 2026</w:t>
      </w:r>
    </w:p>
    <w:p>
      <w:pPr>
        <w:jc w:val="center"/>
      </w:pPr>
      <w:r>
        <w:rPr>
          <w:b/>
          <w:color w:val="666666"/>
          <w:sz w:val="20"/>
        </w:rPr>
        <w:t>PREVÁDZKOVATEĽ</w:t>
      </w:r>
    </w:p>
    <w:p>
      <w:pPr>
        <w:jc w:val="center"/>
      </w:pPr>
      <w:r>
        <w:rPr>
          <w:b/>
          <w:sz w:val="20"/>
        </w:rPr>
        <w:t>AutoCasa Slovensko s.r.o.</w:t>
      </w:r>
    </w:p>
    <w:p>
      <w:pPr>
        <w:jc w:val="center"/>
      </w:pPr>
      <w:r>
        <w:rPr>
          <w:sz w:val="20"/>
        </w:rPr>
        <w:t>so sídlom Bratislavská 48A, 010 01 Žilina</w:t>
      </w:r>
    </w:p>
    <w:p>
      <w:pPr>
        <w:jc w:val="center"/>
      </w:pPr>
      <w:r>
        <w:rPr>
          <w:sz w:val="20"/>
        </w:rPr>
        <w:t>IČO: 57 023 344</w:t>
      </w:r>
    </w:p>
    <w:p>
      <w:pPr>
        <w:jc w:val="center"/>
      </w:pPr>
      <w:r>
        <w:rPr>
          <w:sz w:val="20"/>
        </w:rPr>
        <w:t>zapísaná v Obchodný register Mestského súdu Žilina, oddiel: Sro, vložka č.: 87960/L</w:t>
      </w:r>
    </w:p>
    <w:p>
      <w:pPr>
        <w:jc w:val="center"/>
      </w:pPr>
      <w:r>
        <w:rPr>
          <w:sz w:val="20"/>
        </w:rPr>
        <w:t>e-mail: info@autocasa.sk  ·  web: https://www.autocasa.sk</w:t>
      </w:r>
    </w:p>
    <w:tbl>
      <w:tblPr>
        <w:tblW w:type="auto" w:w="0"/>
        <w:jc w:val="center"/>
        <w:tblLook w:firstColumn="1" w:firstRow="1" w:lastColumn="0" w:lastRow="0" w:noHBand="0" w:noVBand="1" w:val="04A0"/>
      </w:tblPr>
      <w:tblGrid>
        <w:gridCol w:w="9072"/>
      </w:tblGrid>
      <w:tr>
        <w:tc>
          <w:tcPr>
            <w:tcW w:type="dxa" w:w="9072"/>
            <w:shd w:val="clear" w:color="auto" w:fill="DEECF9"/>
            <w:tcBorders>
              <w:top w:val="single" w:sz="12" w:color="2272B6"/>
              <w:left w:val="single" w:sz="12" w:color="2272B6"/>
              <w:bottom w:val="single" w:sz="12" w:color="2272B6"/>
              <w:right w:val="single" w:sz="12" w:color="2272B6"/>
            </w:tcBorders>
          </w:tcPr>
          <w:p>
            <w:r>
              <w:rPr>
                <w:b/>
                <w:color w:val="554000"/>
                <w:sz w:val="22"/>
              </w:rPr>
              <w:t>ℹ️  Informácia pred objednávkou</w:t>
            </w:r>
          </w:p>
          <w:p>
            <w:pPr>
              <w:spacing w:after="40"/>
              <w:ind w:left="283"/>
            </w:pPr>
            <w:r>
              <w:rPr>
                <w:color w:val="333333"/>
                <w:sz w:val="20"/>
              </w:rPr>
              <w:t>•  Tento dokument zhŕňa všetky informácie, ktoré Vám ako Spotrebiteľovi musíme poskytnúť pred uzavretím zmluvy</w:t>
            </w:r>
          </w:p>
          <w:p>
            <w:pPr>
              <w:spacing w:after="40"/>
              <w:ind w:left="283"/>
            </w:pPr>
            <w:r>
              <w:rPr>
                <w:color w:val="333333"/>
                <w:sz w:val="20"/>
              </w:rPr>
              <w:t>•  Pred dokončením objednávky budete povinne potvrdiť, že ste sa s týmito informáciami oboznámili</w:t>
            </w:r>
          </w:p>
          <w:p>
            <w:pPr>
              <w:spacing w:after="40"/>
              <w:ind w:left="283"/>
            </w:pPr>
            <w:r>
              <w:rPr>
                <w:color w:val="333333"/>
                <w:sz w:val="20"/>
              </w:rPr>
              <w:t>•  Tento dokument je dostupný v pätičke Portálu po celú dobu trvania zmluvy</w:t>
            </w:r>
          </w:p>
        </w:tc>
      </w:tr>
    </w:tbl>
    <w:p/>
    <w:p>
      <w:pPr>
        <w:keepNext/>
        <w:spacing w:before="360" w:after="120"/>
      </w:pPr>
      <w:r>
        <w:rPr>
          <w:b/>
          <w:color w:val="123A6E"/>
          <w:sz w:val="26"/>
        </w:rPr>
        <w:t>Článok I</w:t>
      </w:r>
    </w:p>
    <w:p>
      <w:pPr>
        <w:keepNext/>
        <w:spacing w:after="160"/>
      </w:pPr>
      <w:r>
        <w:rPr>
          <w:b/>
          <w:color w:val="123A6E"/>
          <w:sz w:val="24"/>
        </w:rPr>
        <w:t>Hlavné vlastnosti Služby</w:t>
      </w:r>
    </w:p>
    <w:p>
      <w:pPr>
        <w:spacing w:after="80"/>
      </w:pPr>
      <w:r>
        <w:rPr>
          <w:b w:val="0"/>
          <w:i w:val="0"/>
          <w:sz w:val="22"/>
        </w:rPr>
        <w:t>Predmetom Služby je platená propagácia inzerátu na portáli AutoCasa.sk po dohodnutú dobu (1, 3, 7 alebo 30 dní podľa zvoleného variantu). Topnutý inzerát sa zobrazuje na vyššej pozícii v zozname výsledkov vyhľadávania a má vizuálne odlíšenie štítkom „TOP” alebo „PROMO”. Konkrétne vlastnosti každého variantu sú uvedené v sekcii „Topovanie” pri každom inzeráte a v dokumente „Cenník služieb topovania”.</w:t>
      </w:r>
    </w:p>
    <w:p>
      <w:pPr>
        <w:keepNext/>
        <w:spacing w:before="360" w:after="120"/>
      </w:pPr>
      <w:r>
        <w:rPr>
          <w:b/>
          <w:color w:val="123A6E"/>
          <w:sz w:val="26"/>
        </w:rPr>
        <w:t>Článok II</w:t>
      </w:r>
    </w:p>
    <w:p>
      <w:pPr>
        <w:keepNext/>
        <w:spacing w:after="160"/>
      </w:pPr>
      <w:r>
        <w:rPr>
          <w:b/>
          <w:color w:val="123A6E"/>
          <w:sz w:val="24"/>
        </w:rPr>
        <w:t>Identifikácia Predávajúceho (Prevádzkovateľa)</w:t>
      </w:r>
    </w:p>
    <w:tbl>
      <w:tblPr>
        <w:tblW w:type="auto" w:w="0"/>
        <w:jc w:val="left"/>
        <w:tblLayout w:type="fixed"/>
        <w:tblLook w:firstColumn="1" w:firstRow="1" w:lastColumn="0" w:lastRow="0" w:noHBand="0" w:noVBand="1" w:val="04A0"/>
      </w:tblPr>
      <w:tblGrid>
        <w:gridCol w:w="4536"/>
        <w:gridCol w:w="4536"/>
      </w:tblGrid>
      <w:tr>
        <w:tc>
          <w:tcPr>
            <w:tcW w:type="dxa" w:w="2551"/>
            <w:shd w:val="clear" w:color="auto" w:fill="E8F0F8"/>
            <w:tcBorders>
              <w:top w:val="single" w:sz="4" w:color="BFBFBF"/>
              <w:left w:val="single" w:sz="4" w:color="BFBFBF"/>
              <w:bottom w:val="single" w:sz="4" w:color="BFBFBF"/>
              <w:right w:val="single" w:sz="4" w:color="BFBFBF"/>
            </w:tcBorders>
          </w:tcPr>
          <w:p>
            <w:r/>
            <w:r>
              <w:rPr>
                <w:b/>
                <w:sz w:val="20"/>
              </w:rPr>
              <w:t>Obchodné meno</w:t>
            </w:r>
          </w:p>
        </w:tc>
        <w:tc>
          <w:tcPr>
            <w:tcW w:type="dxa" w:w="6803"/>
            <w:tcBorders>
              <w:top w:val="single" w:sz="4" w:color="BFBFBF"/>
              <w:left w:val="single" w:sz="4" w:color="BFBFBF"/>
              <w:bottom w:val="single" w:sz="4" w:color="BFBFBF"/>
              <w:right w:val="single" w:sz="4" w:color="BFBFBF"/>
            </w:tcBorders>
          </w:tcPr>
          <w:p>
            <w:r/>
            <w:r>
              <w:rPr>
                <w:sz w:val="20"/>
              </w:rPr>
              <w:t>AutoCasa Slovensko s.r.o.</w:t>
            </w:r>
          </w:p>
        </w:tc>
      </w:tr>
      <w:tr>
        <w:tc>
          <w:tcPr>
            <w:tcW w:type="dxa" w:w="2551"/>
            <w:shd w:val="clear" w:color="auto" w:fill="E8F0F8"/>
            <w:tcBorders>
              <w:top w:val="single" w:sz="4" w:color="BFBFBF"/>
              <w:left w:val="single" w:sz="4" w:color="BFBFBF"/>
              <w:bottom w:val="single" w:sz="4" w:color="BFBFBF"/>
              <w:right w:val="single" w:sz="4" w:color="BFBFBF"/>
            </w:tcBorders>
          </w:tcPr>
          <w:p>
            <w:r/>
            <w:r>
              <w:rPr>
                <w:b/>
                <w:sz w:val="20"/>
              </w:rPr>
              <w:t>Sídlo a poštová adresa</w:t>
            </w:r>
          </w:p>
        </w:tc>
        <w:tc>
          <w:tcPr>
            <w:tcW w:type="dxa" w:w="6803"/>
            <w:tcBorders>
              <w:top w:val="single" w:sz="4" w:color="BFBFBF"/>
              <w:left w:val="single" w:sz="4" w:color="BFBFBF"/>
              <w:bottom w:val="single" w:sz="4" w:color="BFBFBF"/>
              <w:right w:val="single" w:sz="4" w:color="BFBFBF"/>
            </w:tcBorders>
          </w:tcPr>
          <w:p>
            <w:r/>
            <w:r>
              <w:rPr>
                <w:sz w:val="20"/>
              </w:rPr>
              <w:t>Bratislavská 48A, 010 01 Žilina</w:t>
            </w:r>
          </w:p>
        </w:tc>
      </w:tr>
      <w:tr>
        <w:tc>
          <w:tcPr>
            <w:tcW w:type="dxa" w:w="2551"/>
            <w:shd w:val="clear" w:color="auto" w:fill="E8F0F8"/>
            <w:tcBorders>
              <w:top w:val="single" w:sz="4" w:color="BFBFBF"/>
              <w:left w:val="single" w:sz="4" w:color="BFBFBF"/>
              <w:bottom w:val="single" w:sz="4" w:color="BFBFBF"/>
              <w:right w:val="single" w:sz="4" w:color="BFBFBF"/>
            </w:tcBorders>
          </w:tcPr>
          <w:p>
            <w:r/>
            <w:r>
              <w:rPr>
                <w:b/>
                <w:sz w:val="20"/>
              </w:rPr>
              <w:t>IČO</w:t>
            </w:r>
          </w:p>
        </w:tc>
        <w:tc>
          <w:tcPr>
            <w:tcW w:type="dxa" w:w="6803"/>
            <w:tcBorders>
              <w:top w:val="single" w:sz="4" w:color="BFBFBF"/>
              <w:left w:val="single" w:sz="4" w:color="BFBFBF"/>
              <w:bottom w:val="single" w:sz="4" w:color="BFBFBF"/>
              <w:right w:val="single" w:sz="4" w:color="BFBFBF"/>
            </w:tcBorders>
          </w:tcPr>
          <w:p>
            <w:r/>
            <w:r>
              <w:rPr>
                <w:sz w:val="20"/>
              </w:rPr>
              <w:t>57 023 344</w:t>
            </w:r>
          </w:p>
        </w:tc>
      </w:tr>
      <w:tr>
        <w:tc>
          <w:tcPr>
            <w:tcW w:type="dxa" w:w="2551"/>
            <w:shd w:val="clear" w:color="auto" w:fill="E8F0F8"/>
            <w:tcBorders>
              <w:top w:val="single" w:sz="4" w:color="BFBFBF"/>
              <w:left w:val="single" w:sz="4" w:color="BFBFBF"/>
              <w:bottom w:val="single" w:sz="4" w:color="BFBFBF"/>
              <w:right w:val="single" w:sz="4" w:color="BFBFBF"/>
            </w:tcBorders>
          </w:tcPr>
          <w:p>
            <w:r/>
            <w:r>
              <w:rPr>
                <w:b/>
                <w:sz w:val="20"/>
              </w:rPr>
              <w:t>Zápis v OR</w:t>
            </w:r>
          </w:p>
        </w:tc>
        <w:tc>
          <w:tcPr>
            <w:tcW w:type="dxa" w:w="6803"/>
            <w:tcBorders>
              <w:top w:val="single" w:sz="4" w:color="BFBFBF"/>
              <w:left w:val="single" w:sz="4" w:color="BFBFBF"/>
              <w:bottom w:val="single" w:sz="4" w:color="BFBFBF"/>
              <w:right w:val="single" w:sz="4" w:color="BFBFBF"/>
            </w:tcBorders>
          </w:tcPr>
          <w:p>
            <w:r/>
            <w:r>
              <w:rPr>
                <w:sz w:val="20"/>
              </w:rPr>
              <w:t>Obchodný register Mestského súdu Žilina, oddiel: Sro, vložka č.: 87960/L</w:t>
            </w:r>
          </w:p>
        </w:tc>
      </w:tr>
      <w:tr>
        <w:tc>
          <w:tcPr>
            <w:tcW w:type="dxa" w:w="2551"/>
            <w:shd w:val="clear" w:color="auto" w:fill="E8F0F8"/>
            <w:tcBorders>
              <w:top w:val="single" w:sz="4" w:color="BFBFBF"/>
              <w:left w:val="single" w:sz="4" w:color="BFBFBF"/>
              <w:bottom w:val="single" w:sz="4" w:color="BFBFBF"/>
              <w:right w:val="single" w:sz="4" w:color="BFBFBF"/>
            </w:tcBorders>
          </w:tcPr>
          <w:p>
            <w:r/>
            <w:r>
              <w:rPr>
                <w:b/>
                <w:sz w:val="20"/>
              </w:rPr>
              <w:t>E-mail</w:t>
            </w:r>
          </w:p>
        </w:tc>
        <w:tc>
          <w:tcPr>
            <w:tcW w:type="dxa" w:w="6803"/>
            <w:tcBorders>
              <w:top w:val="single" w:sz="4" w:color="BFBFBF"/>
              <w:left w:val="single" w:sz="4" w:color="BFBFBF"/>
              <w:bottom w:val="single" w:sz="4" w:color="BFBFBF"/>
              <w:right w:val="single" w:sz="4" w:color="BFBFBF"/>
            </w:tcBorders>
          </w:tcPr>
          <w:p>
            <w:r/>
            <w:r>
              <w:rPr>
                <w:sz w:val="20"/>
              </w:rPr>
              <w:t>info@autocasa.sk</w:t>
            </w:r>
          </w:p>
        </w:tc>
      </w:tr>
      <w:tr>
        <w:tc>
          <w:tcPr>
            <w:tcW w:type="dxa" w:w="2551"/>
            <w:shd w:val="clear" w:color="auto" w:fill="E8F0F8"/>
            <w:tcBorders>
              <w:top w:val="single" w:sz="4" w:color="BFBFBF"/>
              <w:left w:val="single" w:sz="4" w:color="BFBFBF"/>
              <w:bottom w:val="single" w:sz="4" w:color="BFBFBF"/>
              <w:right w:val="single" w:sz="4" w:color="BFBFBF"/>
            </w:tcBorders>
          </w:tcPr>
          <w:p>
            <w:r/>
            <w:r>
              <w:rPr>
                <w:b/>
                <w:sz w:val="20"/>
              </w:rPr>
              <w:t>Web</w:t>
            </w:r>
          </w:p>
        </w:tc>
        <w:tc>
          <w:tcPr>
            <w:tcW w:type="dxa" w:w="6803"/>
            <w:tcBorders>
              <w:top w:val="single" w:sz="4" w:color="BFBFBF"/>
              <w:left w:val="single" w:sz="4" w:color="BFBFBF"/>
              <w:bottom w:val="single" w:sz="4" w:color="BFBFBF"/>
              <w:right w:val="single" w:sz="4" w:color="BFBFBF"/>
            </w:tcBorders>
          </w:tcPr>
          <w:p>
            <w:r/>
            <w:r>
              <w:rPr>
                <w:sz w:val="20"/>
              </w:rPr>
              <w:t>https://www.autocasa.sk</w:t>
            </w:r>
          </w:p>
        </w:tc>
      </w:tr>
      <w:tr>
        <w:tc>
          <w:tcPr>
            <w:tcW w:type="dxa" w:w="2551"/>
            <w:shd w:val="clear" w:color="auto" w:fill="E8F0F8"/>
            <w:tcBorders>
              <w:top w:val="single" w:sz="4" w:color="BFBFBF"/>
              <w:left w:val="single" w:sz="4" w:color="BFBFBF"/>
              <w:bottom w:val="single" w:sz="4" w:color="BFBFBF"/>
              <w:right w:val="single" w:sz="4" w:color="BFBFBF"/>
            </w:tcBorders>
          </w:tcPr>
          <w:p>
            <w:r/>
            <w:r>
              <w:rPr>
                <w:b/>
                <w:sz w:val="20"/>
              </w:rPr>
              <w:t>Štatutárny orgán</w:t>
            </w:r>
          </w:p>
        </w:tc>
        <w:tc>
          <w:tcPr>
            <w:tcW w:type="dxa" w:w="6803"/>
            <w:tcBorders>
              <w:top w:val="single" w:sz="4" w:color="BFBFBF"/>
              <w:left w:val="single" w:sz="4" w:color="BFBFBF"/>
              <w:bottom w:val="single" w:sz="4" w:color="BFBFBF"/>
              <w:right w:val="single" w:sz="4" w:color="BFBFBF"/>
            </w:tcBorders>
          </w:tcPr>
          <w:p>
            <w:r/>
            <w:r>
              <w:rPr>
                <w:sz w:val="20"/>
              </w:rPr>
              <w:t>Konateľ (podľa aktuálneho výpisu OR)</w:t>
            </w:r>
          </w:p>
        </w:tc>
      </w:tr>
      <w:tr>
        <w:tc>
          <w:tcPr>
            <w:tcW w:type="dxa" w:w="2551"/>
            <w:shd w:val="clear" w:color="auto" w:fill="E8F0F8"/>
            <w:tcBorders>
              <w:top w:val="single" w:sz="4" w:color="BFBFBF"/>
              <w:left w:val="single" w:sz="4" w:color="BFBFBF"/>
              <w:bottom w:val="single" w:sz="4" w:color="BFBFBF"/>
              <w:right w:val="single" w:sz="4" w:color="BFBFBF"/>
            </w:tcBorders>
          </w:tcPr>
          <w:p>
            <w:r/>
            <w:r>
              <w:rPr>
                <w:b/>
                <w:sz w:val="20"/>
              </w:rPr>
              <w:t>Dohľadový orgán</w:t>
            </w:r>
          </w:p>
        </w:tc>
        <w:tc>
          <w:tcPr>
            <w:tcW w:type="dxa" w:w="6803"/>
            <w:tcBorders>
              <w:top w:val="single" w:sz="4" w:color="BFBFBF"/>
              <w:left w:val="single" w:sz="4" w:color="BFBFBF"/>
              <w:bottom w:val="single" w:sz="4" w:color="BFBFBF"/>
              <w:right w:val="single" w:sz="4" w:color="BFBFBF"/>
            </w:tcBorders>
          </w:tcPr>
          <w:p>
            <w:r/>
            <w:r>
              <w:rPr>
                <w:sz w:val="20"/>
              </w:rPr>
              <w:t>Slovenská obchodná inšpekcia (SOI) — www.soi.sk</w:t>
            </w:r>
          </w:p>
          <w:p>
            <w:r>
              <w:rPr>
                <w:sz w:val="20"/>
              </w:rPr>
              <w:t>Úrad pre ochranu osobných údajov SR — www.dataprotection.gov.sk</w:t>
            </w:r>
          </w:p>
        </w:tc>
      </w:tr>
    </w:tbl>
    <w:p/>
    <w:p>
      <w:pPr>
        <w:keepNext/>
        <w:spacing w:before="360" w:after="120"/>
      </w:pPr>
      <w:r>
        <w:rPr>
          <w:b/>
          <w:color w:val="123A6E"/>
          <w:sz w:val="26"/>
        </w:rPr>
        <w:t>Článok III</w:t>
      </w:r>
    </w:p>
    <w:p>
      <w:pPr>
        <w:keepNext/>
        <w:spacing w:after="160"/>
      </w:pPr>
      <w:r>
        <w:rPr>
          <w:b/>
          <w:color w:val="123A6E"/>
          <w:sz w:val="24"/>
        </w:rPr>
        <w:t>Celková cena Služby</w:t>
      </w:r>
    </w:p>
    <w:p>
      <w:pPr>
        <w:spacing w:after="80"/>
      </w:pPr>
      <w:r>
        <w:rPr>
          <w:b w:val="0"/>
          <w:i w:val="0"/>
          <w:sz w:val="22"/>
        </w:rPr>
        <w:t>Cena Služby Topovania je uvedená vrátane všetkých poplatkov pri každom variante v sekcii „Topovanie”. Cena je v mene EUR. Spotrebiteľom z lokalít mimo eurozóny sa cena môže zobraziť aj v lokálnej mene s automaticky aplikovaným konverzným poplatkom 2 – 4 % (Stripe Adaptive Pricing). Konečnú sumu v lokálnej mene Stripe zobrazí pred kliknutím na „ZAPLATIŤ”. Spotrebiteľ neplatí žiadne ďalšie skryté poplatky.</w:t>
      </w:r>
    </w:p>
    <w:p>
      <w:pPr>
        <w:spacing w:after="80"/>
      </w:pPr>
      <w:r>
        <w:rPr>
          <w:b w:val="0"/>
          <w:i w:val="0"/>
          <w:sz w:val="22"/>
        </w:rPr>
        <w:t>Prevádzkovateľ nie je platcom dane z pridanej hodnoty (DPH); cena teda neobsahuje DPH.</w:t>
      </w:r>
    </w:p>
    <w:p>
      <w:pPr>
        <w:keepNext/>
        <w:spacing w:before="360" w:after="120"/>
      </w:pPr>
      <w:r>
        <w:rPr>
          <w:b/>
          <w:color w:val="123A6E"/>
          <w:sz w:val="26"/>
        </w:rPr>
        <w:t>Článok IV</w:t>
      </w:r>
    </w:p>
    <w:p>
      <w:pPr>
        <w:keepNext/>
        <w:spacing w:after="160"/>
      </w:pPr>
      <w:r>
        <w:rPr>
          <w:b/>
          <w:color w:val="123A6E"/>
          <w:sz w:val="24"/>
        </w:rPr>
        <w:t>Náklady na použitie komunikačných prostriedkov na diaľku</w:t>
      </w:r>
    </w:p>
    <w:p>
      <w:pPr>
        <w:spacing w:after="80"/>
      </w:pPr>
      <w:r>
        <w:rPr>
          <w:b w:val="0"/>
          <w:i w:val="0"/>
          <w:sz w:val="22"/>
        </w:rPr>
        <w:t>Použitie internetového pripojenia, mobilných dát a iných komunikačných prostriedkov v súvislosti s uzavretím zmluvy si Spotrebiteľ hradí sám podľa svojej tarify. Prevádzkovateľ nevyužíva zvýšené tarifné čísla.</w:t>
      </w:r>
    </w:p>
    <w:p>
      <w:pPr>
        <w:keepNext/>
        <w:spacing w:before="360" w:after="120"/>
      </w:pPr>
      <w:r>
        <w:rPr>
          <w:b/>
          <w:color w:val="123A6E"/>
          <w:sz w:val="26"/>
        </w:rPr>
        <w:t>Článok V</w:t>
      </w:r>
    </w:p>
    <w:p>
      <w:pPr>
        <w:keepNext/>
        <w:spacing w:after="160"/>
      </w:pPr>
      <w:r>
        <w:rPr>
          <w:b/>
          <w:color w:val="123A6E"/>
          <w:sz w:val="24"/>
        </w:rPr>
        <w:t>Platobné podmienky</w:t>
      </w:r>
    </w:p>
    <w:p>
      <w:pPr>
        <w:spacing w:after="80"/>
      </w:pPr>
      <w:r>
        <w:rPr>
          <w:b w:val="0"/>
          <w:i w:val="0"/>
          <w:sz w:val="22"/>
        </w:rPr>
        <w:t>Platby sú spracúvané platobnou bránou Stripe Payments Europe Ltd. (Írsko). Akceptované metódy zahŕňajú platobné karty (Visa, Mastercard, American Express), Apple Pay, Google Pay, PayPal, SEPA Direct Debit, iDEAL, Bancontact, EPS, Przelewy24, BLIK a Link. Konkrétny zoznam dostupných metód Spotrebiteľovi zobrazí Stripe Checkout podľa jeho lokality a meny.</w:t>
      </w:r>
    </w:p>
    <w:p>
      <w:pPr>
        <w:spacing w:after="80"/>
      </w:pPr>
      <w:r>
        <w:rPr>
          <w:b w:val="0"/>
          <w:i w:val="0"/>
          <w:sz w:val="22"/>
        </w:rPr>
        <w:t>Cena je splatná v okamihu odoslania objednávky. Služba sa aktivuje bezodkladne (najneskôr do 10 minút) po prijatí potvrdenia platby.</w:t>
      </w:r>
    </w:p>
    <w:p>
      <w:pPr>
        <w:keepNext/>
        <w:spacing w:before="360" w:after="120"/>
      </w:pPr>
      <w:r>
        <w:rPr>
          <w:b/>
          <w:color w:val="123A6E"/>
          <w:sz w:val="26"/>
        </w:rPr>
        <w:t>Článok VI</w:t>
      </w:r>
    </w:p>
    <w:p>
      <w:pPr>
        <w:keepNext/>
        <w:spacing w:after="160"/>
      </w:pPr>
      <w:r>
        <w:rPr>
          <w:b/>
          <w:color w:val="123A6E"/>
          <w:sz w:val="24"/>
        </w:rPr>
        <w:t>Dodanie Služby</w:t>
      </w:r>
    </w:p>
    <w:p>
      <w:pPr>
        <w:spacing w:after="80"/>
      </w:pPr>
      <w:r>
        <w:rPr>
          <w:b w:val="0"/>
          <w:i w:val="0"/>
          <w:sz w:val="22"/>
        </w:rPr>
        <w:t>Služba sa dodáva elektronicky — aktiváciou Topovania v systéme Prevádzkovateľa okamžite po prijatí platby. Doba trvania zodpovedá zakúpenému variantu (1, 3, 7 alebo 30 dní).</w:t>
      </w:r>
    </w:p>
    <w:p>
      <w:pPr>
        <w:keepNext/>
        <w:spacing w:before="360" w:after="120"/>
      </w:pPr>
      <w:r>
        <w:rPr>
          <w:b/>
          <w:color w:val="123A6E"/>
          <w:sz w:val="26"/>
        </w:rPr>
        <w:t>Článok VII</w:t>
      </w:r>
    </w:p>
    <w:p>
      <w:pPr>
        <w:keepNext/>
        <w:spacing w:after="160"/>
      </w:pPr>
      <w:r>
        <w:rPr>
          <w:b/>
          <w:color w:val="123A6E"/>
          <w:sz w:val="24"/>
        </w:rPr>
        <w:t>Záruka a zodpovednosť za vady</w:t>
      </w:r>
    </w:p>
    <w:p>
      <w:pPr>
        <w:spacing w:after="80"/>
      </w:pPr>
      <w:r>
        <w:rPr>
          <w:b w:val="0"/>
          <w:i w:val="0"/>
          <w:sz w:val="22"/>
        </w:rPr>
        <w:t>Spotrebiteľ má nárok na bezvadné poskytnutie Služby. Pri vadách (neaktivácia, predčasné ukončenie, duplikovaná platba, nesprávna cena) má nárok na refund alebo náhradné dodanie. Postup uplatnenia je podrobne popísaný v Reklamačnom poriadku Prevádzkovateľa, ktorý je dostupný v pätičke Portálu.</w:t>
      </w:r>
    </w:p>
    <w:p>
      <w:pPr>
        <w:keepNext/>
        <w:spacing w:before="360" w:after="120"/>
      </w:pPr>
      <w:r>
        <w:rPr>
          <w:b/>
          <w:color w:val="123A6E"/>
          <w:sz w:val="26"/>
        </w:rPr>
        <w:t>Článok VIII</w:t>
      </w:r>
    </w:p>
    <w:p>
      <w:pPr>
        <w:keepNext/>
        <w:spacing w:after="160"/>
      </w:pPr>
      <w:r>
        <w:rPr>
          <w:b/>
          <w:color w:val="123A6E"/>
          <w:sz w:val="24"/>
        </w:rPr>
        <w:t>Právo na odstúpenie od zmluvy a podmienky jeho uplatnenia</w:t>
      </w:r>
    </w:p>
    <w:p>
      <w:pPr>
        <w:spacing w:after="80"/>
      </w:pPr>
      <w:r>
        <w:rPr>
          <w:b w:val="0"/>
          <w:i w:val="0"/>
          <w:sz w:val="22"/>
        </w:rPr>
        <w:t>Spotrebiteľ má právo odstúpiť od zmluvy bez uvedenia dôvodu do 14 dní odo dňa uzavretia zmluvy (§ 18 zákona č. 108/2024 Z. z.). Odstúpenie môže Spotrebiteľ uplatniť:</w:t>
      </w:r>
    </w:p>
    <w:p>
      <w:pPr>
        <w:spacing w:after="40"/>
        <w:ind w:left="567"/>
      </w:pPr>
      <w:r>
        <w:rPr>
          <w:sz w:val="22"/>
        </w:rPr>
        <w:t>•  Elektronicky cez tlačidlo „Odstúpiť od zmluvy” v pätičke Portálu (NOVÁ MOŽNOSŤ od 19. 6. 2026 podľa novely zákona č. 108/2024)</w:t>
      </w:r>
    </w:p>
    <w:p>
      <w:pPr>
        <w:spacing w:after="40"/>
        <w:ind w:left="567"/>
      </w:pPr>
      <w:r>
        <w:rPr>
          <w:sz w:val="22"/>
        </w:rPr>
        <w:t>•  E-mailom na info@autocasa.sk s identifikáciou objednávky</w:t>
      </w:r>
    </w:p>
    <w:p>
      <w:pPr>
        <w:spacing w:after="40"/>
        <w:ind w:left="567"/>
      </w:pPr>
      <w:r>
        <w:rPr>
          <w:sz w:val="22"/>
        </w:rPr>
        <w:t>•  Poštou na adresu sídla: Bratislavská 48A, 010 01 Žilina (formulár na odstúpenie je v Prílohe)</w:t>
      </w:r>
    </w:p>
    <w:p>
      <w:pPr>
        <w:spacing w:after="80"/>
      </w:pPr>
      <w:r>
        <w:rPr>
          <w:b w:val="0"/>
          <w:i w:val="0"/>
          <w:sz w:val="22"/>
        </w:rPr>
        <w:t>STRATA PRÁVA NA ODSTÚPENIE. Spotrebiteľ stráca právo na odstúpenie podľa § 19 ods. 1 písm. l) zákona č. 108/2024 Z. z. v prípade Služby, ktorá bola po jeho výslovnom súhlase poskytnutá pred uplynutím lehoty na odstúpenie a Spotrebiteľ vyhlásil, že bol riadne poučený, že vyjadrením súhlasu stráca právo na odstúpenie po úplnom poskytnutí Služby. Pri objednaní Topovania Spotrebiteľ tento súhlas udeľuje povinným zaškrtnutím checkboxu pred tlačidlom „ZAPLATIŤ”.</w:t>
      </w:r>
    </w:p>
    <w:p>
      <w:pPr>
        <w:keepNext/>
        <w:spacing w:before="360" w:after="120"/>
      </w:pPr>
      <w:r>
        <w:rPr>
          <w:b/>
          <w:color w:val="123A6E"/>
          <w:sz w:val="26"/>
        </w:rPr>
        <w:t>Článok IX</w:t>
      </w:r>
    </w:p>
    <w:p>
      <w:pPr>
        <w:keepNext/>
        <w:spacing w:after="160"/>
      </w:pPr>
      <w:r>
        <w:rPr>
          <w:b/>
          <w:color w:val="123A6E"/>
          <w:sz w:val="24"/>
        </w:rPr>
        <w:t>ADR / ODR</w:t>
      </w:r>
    </w:p>
    <w:p>
      <w:pPr>
        <w:spacing w:after="80"/>
      </w:pPr>
      <w:r>
        <w:rPr>
          <w:b w:val="0"/>
          <w:i w:val="0"/>
          <w:sz w:val="22"/>
        </w:rPr>
        <w:t>V prípade sporu má Spotrebiteľ právo obrátiť sa na Slovenskú obchodnú inšpekciu (SOI, www.soi.sk, ars@soi.sk) ako orgán alternatívneho riešenia sporov, alebo na ODR platformu Európskej komisie (https://ec.europa.eu/consumers/odr).</w:t>
      </w:r>
    </w:p>
    <w:p>
      <w:pPr>
        <w:keepNext/>
        <w:spacing w:before="360" w:after="120"/>
      </w:pPr>
      <w:r>
        <w:rPr>
          <w:b/>
          <w:color w:val="123A6E"/>
          <w:sz w:val="26"/>
        </w:rPr>
        <w:t>Článok X</w:t>
      </w:r>
    </w:p>
    <w:p>
      <w:pPr>
        <w:keepNext/>
        <w:spacing w:after="160"/>
      </w:pPr>
      <w:r>
        <w:rPr>
          <w:b/>
          <w:color w:val="123A6E"/>
          <w:sz w:val="24"/>
        </w:rPr>
        <w:t>Ochrana osobných údajov</w:t>
      </w:r>
    </w:p>
    <w:p>
      <w:pPr>
        <w:spacing w:after="80"/>
      </w:pPr>
      <w:r>
        <w:rPr>
          <w:b w:val="0"/>
          <w:i w:val="0"/>
          <w:sz w:val="22"/>
        </w:rPr>
        <w:t>Spracúvanie osobných údajov sa riadi samostatným dokumentom „Zásady ochrany osobných údajov” dostupným v pätičke Portálu. V krátkosti: Spotrebiteľove údaje spracúvame na účely plnenia zmluvy, fakturácie (10 rokov), reklamácií (5 rokov) a — len so súhlasom — marketingu. Sub-processormi sú Stripe (Írsko + USA cez SCC), Brevo (Francúzsko) a AWS (Luxembursko / Švédsko).</w:t>
      </w:r>
    </w:p>
    <w:p>
      <w:pPr>
        <w:keepNext/>
        <w:spacing w:before="360" w:after="120"/>
      </w:pPr>
      <w:r>
        <w:rPr>
          <w:b/>
          <w:color w:val="123A6E"/>
          <w:sz w:val="26"/>
        </w:rPr>
        <w:t>Článok XI</w:t>
      </w:r>
    </w:p>
    <w:p>
      <w:pPr>
        <w:keepNext/>
        <w:spacing w:after="160"/>
      </w:pPr>
      <w:r>
        <w:rPr>
          <w:b/>
          <w:color w:val="123A6E"/>
          <w:sz w:val="24"/>
        </w:rPr>
        <w:t>Reklamácie a podpora</w:t>
      </w:r>
    </w:p>
    <w:p>
      <w:pPr>
        <w:spacing w:after="80"/>
      </w:pPr>
      <w:r>
        <w:rPr>
          <w:b w:val="0"/>
          <w:i w:val="0"/>
          <w:sz w:val="22"/>
        </w:rPr>
        <w:t>Reklamácie a otázky podpory smerujte na info@autocasa.sk alebo cez kontaktný formulár na Portáli. Postup vybavovania reklamácií je v samostatnom Reklamačnom poriadku. Lehota vybavenia je max. 30 dní.</w:t>
      </w:r>
    </w:p>
    <w:p>
      <w:pPr>
        <w:keepNext/>
        <w:spacing w:before="360" w:after="120"/>
      </w:pPr>
      <w:r>
        <w:rPr>
          <w:b/>
          <w:color w:val="123A6E"/>
          <w:sz w:val="26"/>
        </w:rPr>
        <w:t>Článok XII</w:t>
      </w:r>
    </w:p>
    <w:p>
      <w:pPr>
        <w:keepNext/>
        <w:spacing w:after="160"/>
      </w:pPr>
      <w:r>
        <w:rPr>
          <w:b/>
          <w:color w:val="123A6E"/>
          <w:sz w:val="24"/>
        </w:rPr>
        <w:t>Záverečné ustanovenia</w:t>
      </w:r>
    </w:p>
    <w:p>
      <w:pPr>
        <w:spacing w:after="80"/>
      </w:pPr>
      <w:r>
        <w:rPr>
          <w:b w:val="0"/>
          <w:i w:val="0"/>
          <w:sz w:val="22"/>
        </w:rPr>
        <w:t>Tieto Predzmluvné informácie sú vydané v zmysle § 5 zákona č. 108/2024 Z. z. a tvoria neoddeliteľnú súčasť VOP Prevádzkovateľa. Vo verzii 2.0 nadobúdajú účinnosť dňa 1. júla 2026.</w:t>
      </w:r>
    </w:p>
    <w:p/>
    <w:p>
      <w:pPr>
        <w:jc w:val="left"/>
      </w:pPr>
      <w:r>
        <w:rPr>
          <w:i/>
          <w:sz w:val="20"/>
        </w:rPr>
        <w:t>Vydané v Žiline dňa 29. júna 2026.</w:t>
      </w:r>
    </w:p>
    <w:p>
      <w:pPr>
        <w:jc w:val="left"/>
      </w:pPr>
      <w:r>
        <w:rPr>
          <w:b/>
          <w:sz w:val="20"/>
        </w:rPr>
        <w:t>AutoCasa Slovensko s.r.o.</w:t>
      </w:r>
    </w:p>
    <w:sectPr w:rsidR="00FC693F" w:rsidRPr="0006063C" w:rsidSect="00034616">
      <w:footerReference w:type="default" r:id="rId9"/>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77777"/>
        <w:sz w:val="16"/>
      </w:rPr>
      <w:t>Predzmluvné informácie pre Spotrebiteľa  ·  v2.0  ·  účinné od 1. júla 2026  ·  AutoCasa Slovensko s.r.o., IČO 57 023 344</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123A6E"/>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123A6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123A6E"/>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